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BẢN DỰ TOÁN TÀI CHÍNH &amp; KẾ HOẠCH KINH DOANH F&amp;B CHI TIẾT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Phần I. Dự Toán Chi Phí Đầu Tư Ban Đầu (Cost of Setup)</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Dưới đây là bảng phân bổ giả định cho một mô hình quán diện tích 50-70m2, tổng mức đầu tư 500.000.000 VNĐ. Việc liệt kê chi tiết giúp nhà đầu tư nắm rõ dòng tiền đang được phân bổ vào đâu.</w:t>
      </w:r>
    </w:p>
    <w:tbl>
      <w:tblPr>
        <w:tblStyle w:val="Table1"/>
        <w:tblW w:w="9360.0" w:type="dxa"/>
        <w:jc w:val="left"/>
        <w:tblBorders>
          <w:top w:color="bdc3c7" w:space="0" w:sz="6" w:val="single"/>
          <w:left w:color="bdc3c7" w:space="0" w:sz="6" w:val="single"/>
          <w:bottom w:color="bdc3c7" w:space="0" w:sz="6" w:val="single"/>
          <w:right w:color="bdc3c7" w:space="0" w:sz="6" w:val="single"/>
          <w:insideH w:color="bdc3c7" w:space="0" w:sz="6" w:val="single"/>
          <w:insideV w:color="bdc3c7"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Hạng Mục</w:t>
            </w:r>
          </w:p>
        </w:tc>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Chi Tiết</w:t>
            </w:r>
          </w:p>
        </w:tc>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Tỷ Trọng (%)</w:t>
            </w:r>
          </w:p>
        </w:tc>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Số Tiền Ước Tính (VNĐ)</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1. Mặt bằng &amp; Cọc</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Cọc 3 - 6 tháng tiền nhà (Giả định giá thuê 20tr/tháng)</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20%</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100.000.000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2. Thiết kế &amp; Thi công</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Bảng hiệu, nội thất (bàn ghế), hệ thống điện nước, trang trí</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30%</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150.000.000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3. Máy móc &amp; Quầy Bar</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Máy pha, máy xay, tủ mát, máy làm đá, dụng cụ pha chế</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35%</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175.000.000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4. Setup Vận hành</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Phần mềm POS, nguyên liệu mẻ đầu, đồng phục, bao bì</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5%</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25.000.000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5. Quỹ Dự Phòng</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Vốn lưu động duy trì quán trong 3 tháng đầu khai trương</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10%</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50.000.000</w:t>
            </w:r>
          </w:p>
        </w:tc>
      </w:tr>
    </w:tbl>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375" w:lineRule="auto"/>
        <w:rPr/>
      </w:pPr>
      <w:r w:rsidDel="00000000" w:rsidR="00000000" w:rsidRPr="00000000">
        <w:rPr>
          <w:rtl w:val="0"/>
        </w:rPr>
        <w:t xml:space="preserve">Phần II. Quản Lý Vận Hành &amp; Giảm Thất Thoát Cửa Hàng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lineRule="auto"/>
        <w:rPr/>
      </w:pPr>
      <w:r w:rsidDel="00000000" w:rsidR="00000000" w:rsidRPr="00000000">
        <w:rPr>
          <w:rtl w:val="0"/>
        </w:rPr>
        <w:t xml:space="preserve">Để tối ưu lợi nhuận trong ngành đồ uống, khâu quản lý kho là yếu tố sống còn.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Kiểm soát thất thoát nguyên liệu:</w:t>
      </w:r>
      <w:r w:rsidDel="00000000" w:rsidR="00000000" w:rsidRPr="00000000">
        <w:rPr>
          <w:rtl w:val="0"/>
        </w:rPr>
        <w:t xml:space="preserve"> Thiết lập định mức nguyên vật liệu chặt chẽ cho từng công thức. Sử dụng triệt để các tính năng trên phần mềm quản lý bán hàng (như POS365 hoặc KiotViet) để quản lý kho hàng ngày.</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Quy trình kiểm kho:</w:t>
      </w:r>
      <w:r w:rsidDel="00000000" w:rsidR="00000000" w:rsidRPr="00000000">
        <w:rPr>
          <w:rtl w:val="0"/>
        </w:rPr>
        <w:t xml:space="preserve"> Khuyến khích nhân viên áp dụng quy trình kiểm kho nhanh bằng máy quét mã vạch đối với các nguyên liệu đóng chai/đóng gói sẵn vào cuối mỗi ca làm việc để đối chiếu ngay với dữ liệu hệ thống, phát hiện sớm chênh lệch.</w:t>
      </w:r>
    </w:p>
    <w:p w:rsidR="00000000" w:rsidDel="00000000" w:rsidP="00000000" w:rsidRDefault="00000000" w:rsidRPr="00000000" w14:paraId="00000021">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Phần III. Chiến Lược Marketing &amp; Thu Hút Khách Hàng</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Kế hoạch triển khai thu hút khách hàng cần tập trung vào các kênh mang lại hiệu quả chuyển đổi cao.</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Truyền thông Digital (Online)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Thiết lập và tối ưu hóa nội dung Fanpage/Instagram. Sử dụng hình ảnh và video ngắn quay thực tế quá trình pha chế.</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Chạy các chiến dịch </w:t>
      </w:r>
      <w:r w:rsidDel="00000000" w:rsidR="00000000" w:rsidRPr="00000000">
        <w:rPr>
          <w:b w:val="1"/>
          <w:bCs w:val="1"/>
          <w:rtl w:val="0"/>
        </w:rPr>
        <w:t xml:space="preserve">Facebook Ads</w:t>
      </w:r>
      <w:r w:rsidDel="00000000" w:rsidR="00000000" w:rsidRPr="00000000">
        <w:rPr>
          <w:rtl w:val="0"/>
        </w:rPr>
        <w:t xml:space="preserve"> tập trung nhắm mục tiêu chính xác vào tệp khách hàng trong bán kính 3-5km xung quanh vị trí quán. Kết hợp các bài viết chuẩn Content SEO để tăng nhận diện tự nhiên.</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Chiến lược Cạnh Tranh (Offline)</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Định vị thương hiệu:</w:t>
      </w:r>
      <w:r w:rsidDel="00000000" w:rsidR="00000000" w:rsidRPr="00000000">
        <w:rPr>
          <w:rtl w:val="0"/>
        </w:rPr>
        <w:t xml:space="preserve"> Xây dựng quy chuẩn phục vụ chuyên nghiệp. Có thể nghiên cứu các tiêu chuẩn không gian và chương trình chăm sóc khách hàng của những chuỗi lớn trong khu vực (ví dụ như Highlands Coffee) để làm thước đo tham chiếu (benchmark) nâng cấp trải nghiệm khách hàng tại quán.</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Chương trình thẻ thành viên:</w:t>
      </w:r>
      <w:r w:rsidDel="00000000" w:rsidR="00000000" w:rsidRPr="00000000">
        <w:rPr>
          <w:rtl w:val="0"/>
        </w:rPr>
        <w:t xml:space="preserve"> Phát hành thẻ tích điểm hoặc ưu đãi nâng hạng thành viên để giữ chân khách hàng quen.</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Phần IV. Dự Toán Dòng Tiền &amp; Phân Tích Điểm Hòa Vốn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Dưới đây là công thức và bảng tính mẫu để xác định mỗi tháng quán cần bán được bao nhiêu ly để không bị lỗ.</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Bảng Chi Phí Cố Định (Định Phí Hàng Tháng)</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Đây là những khoản chi phí quán bắt buộc phải trả dù có bán được hàng hay không.</w:t>
      </w:r>
    </w:p>
    <w:tbl>
      <w:tblPr>
        <w:tblStyle w:val="Table2"/>
        <w:tblW w:w="9360.0" w:type="dxa"/>
        <w:jc w:val="left"/>
        <w:tblBorders>
          <w:top w:color="bdc3c7" w:space="0" w:sz="6" w:val="single"/>
          <w:left w:color="bdc3c7" w:space="0" w:sz="6" w:val="single"/>
          <w:bottom w:color="bdc3c7" w:space="0" w:sz="6" w:val="single"/>
          <w:right w:color="bdc3c7" w:space="0" w:sz="6" w:val="single"/>
          <w:insideH w:color="bdc3c7" w:space="0" w:sz="6" w:val="single"/>
          <w:insideV w:color="bdc3c7"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Hạng Mục Định Phí</w:t>
            </w:r>
          </w:p>
        </w:tc>
        <w:tc>
          <w:tcPr>
            <w:tcBorders>
              <w:top w:color="bdc3c7" w:space="0" w:sz="6" w:val="single"/>
              <w:left w:color="bdc3c7" w:space="0" w:sz="6" w:val="single"/>
              <w:bottom w:color="bdc3c7" w:space="0" w:sz="6" w:val="single"/>
              <w:right w:color="bdc3c7" w:space="0" w:sz="6" w:val="single"/>
            </w:tcBorders>
            <w:shd w:fill="ecf0f1" w:val="clear"/>
            <w:tcMar>
              <w:top w:w="150.0" w:type="dxa"/>
              <w:left w:w="150.0" w:type="dxa"/>
              <w:bottom w:w="150.0" w:type="dxa"/>
              <w:right w:w="15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Chi Phí (VNĐ/Tháng)</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Thuê mặt bằng</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20.000.000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Lương nhân sự (Cửa hàng trưởng + Nhân viên)</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25.000.000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Điện, Nước, Internet, Rác</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5.000.000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Chi phí Marketing, Phần mềm duy trì</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5.000.000</w:t>
            </w:r>
          </w:p>
        </w:tc>
      </w:tr>
      <w:tr>
        <w:trPr>
          <w:cantSplit w:val="0"/>
          <w:tblHeader w:val="0"/>
        </w:trPr>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Tổng Chi Phí Cố Định (A)</w:t>
            </w:r>
          </w:p>
        </w:tc>
        <w:tc>
          <w:tcPr>
            <w:tcBorders>
              <w:top w:color="bdc3c7" w:space="0" w:sz="6" w:val="single"/>
              <w:left w:color="bdc3c7" w:space="0" w:sz="6" w:val="single"/>
              <w:bottom w:color="bdc3c7" w:space="0" w:sz="6" w:val="single"/>
              <w:right w:color="bdc3c7"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55.000.000</w:t>
            </w:r>
          </w:p>
        </w:tc>
      </w:tr>
    </w:tbl>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spacing w:before="375" w:lineRule="auto"/>
        <w:rPr/>
      </w:pPr>
      <w:r w:rsidDel="00000000" w:rsidR="00000000" w:rsidRPr="00000000">
        <w:rPr>
          <w:rtl w:val="0"/>
        </w:rPr>
        <w:t xml:space="preserve">2. Biến Phí &amp; Lợi Nhuận Gộp (Tính trên 1 ly đồ uống)</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50" w:lineRule="auto"/>
        <w:rPr/>
      </w:pPr>
      <w:r w:rsidDel="00000000" w:rsidR="00000000" w:rsidRPr="00000000">
        <w:rPr>
          <w:rtl w:val="0"/>
        </w:rPr>
        <w:t xml:space="preserve">Giả định sản phẩm bán chạy nhất là Cafe Sữa Đá.</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Giá bán dự kiến (B):</w:t>
      </w:r>
      <w:r w:rsidDel="00000000" w:rsidR="00000000" w:rsidRPr="00000000">
        <w:rPr>
          <w:rtl w:val="0"/>
        </w:rPr>
        <w:t xml:space="preserve"> 40.000 VNĐ</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Giá vốn nguyên vật liệu (Drink Cost) (C):</w:t>
      </w:r>
      <w:r w:rsidDel="00000000" w:rsidR="00000000" w:rsidRPr="00000000">
        <w:rPr>
          <w:rtl w:val="0"/>
        </w:rPr>
        <w:t xml:space="preserve"> 14.000 VNĐ (chiếm 35%)</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Lợi nhuận gộp trên 1 ly (D = B - C):</w:t>
      </w:r>
      <w:r w:rsidDel="00000000" w:rsidR="00000000" w:rsidRPr="00000000">
        <w:rPr>
          <w:rtl w:val="0"/>
        </w:rPr>
        <w:t xml:space="preserve"> 26.000 VNĐ</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Tính Toán Điểm Hòa Vốn</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375" w:before="225" w:lineRule="auto"/>
        <w:ind w:left="225" w:right="225" w:firstLine="0"/>
        <w:rPr>
          <w:shd w:fill="f8f9fa" w:val="clear"/>
        </w:rPr>
      </w:pPr>
      <w:r w:rsidDel="00000000" w:rsidR="00000000" w:rsidRPr="00000000">
        <w:rPr>
          <w:shd w:fill="f8f9fa" w:val="clear"/>
          <w:rtl w:val="0"/>
        </w:rPr>
        <w:t xml:space="preserve">Công thức Điểm hòa vốn = Tổng Chi Phí Cố Định (A) / Lợi nhuận gộp trên 1 ly (D)</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Số ly cần bán 1 tháng để hòa vốn:</w:t>
      </w:r>
      <w:r w:rsidDel="00000000" w:rsidR="00000000" w:rsidRPr="00000000">
        <w:rPr>
          <w:rFonts w:ascii="Arial Unicode MS" w:cs="Arial Unicode MS" w:eastAsia="Arial Unicode MS" w:hAnsi="Arial Unicode MS"/>
          <w:rtl w:val="0"/>
        </w:rPr>
        <w:t xml:space="preserve"> 55.000.000 / 26.000 ≈ 2.115 ly.</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Số ly cần bán mỗi ngày (chia cho 30 ngày):</w:t>
      </w:r>
      <w:r w:rsidDel="00000000" w:rsidR="00000000" w:rsidRPr="00000000">
        <w:rPr>
          <w:rFonts w:ascii="Arial Unicode MS" w:cs="Arial Unicode MS" w:eastAsia="Arial Unicode MS" w:hAnsi="Arial Unicode MS"/>
          <w:rtl w:val="0"/>
        </w:rPr>
        <w:t xml:space="preserve"> ≈ 71 ly/ngày.</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before="225" w:lineRule="auto"/>
        <w:rPr/>
      </w:pPr>
      <w:r w:rsidDel="00000000" w:rsidR="00000000" w:rsidRPr="00000000">
        <w:rPr>
          <w:b w:val="1"/>
          <w:bCs w:val="1"/>
          <w:rtl w:val="0"/>
        </w:rPr>
        <w:t xml:space="preserve">Kết luận chiến lược:</w:t>
      </w:r>
      <w:r w:rsidDel="00000000" w:rsidR="00000000" w:rsidRPr="00000000">
        <w:rPr>
          <w:rtl w:val="0"/>
        </w:rPr>
        <w:t xml:space="preserve"> Quán cần thiết lập KPI cho nhân viên và các chiến dịch Marketing phải đảm bảo kéo lượng khách đổ về quán để bán được ít nhất </w:t>
      </w:r>
      <w:r w:rsidDel="00000000" w:rsidR="00000000" w:rsidRPr="00000000">
        <w:rPr>
          <w:b w:val="1"/>
          <w:bCs w:val="1"/>
          <w:rtl w:val="0"/>
        </w:rPr>
        <w:t xml:space="preserve">71 ly/ngày</w:t>
      </w:r>
      <w:r w:rsidDel="00000000" w:rsidR="00000000" w:rsidRPr="00000000">
        <w:rPr>
          <w:rtl w:val="0"/>
        </w:rPr>
        <w:t xml:space="preserve"> thì dòng tiền mới bắt đầu hòa vốn. Từ ly thứ 72 trở đi, quán bắt đầu tạo ra lợi nhuận ròng.</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jc w:val="center"/>
    </w:pPr>
    <w:rPr>
      <w:b w:val="1"/>
      <w:bCs w:val="1"/>
      <w:i w:val="0"/>
      <w:iCs w:val="0"/>
      <w:color w:val="2c3e5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300" w:before="300" w:lineRule="auto"/>
    </w:pPr>
    <w:rPr>
      <w:b w:val="1"/>
      <w:bCs w:val="1"/>
      <w:i w:val="0"/>
      <w:iCs w:val="0"/>
      <w:color w:val="34495e"/>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25" w:lineRule="auto"/>
    </w:pPr>
    <w:rPr>
      <w:b w:val="1"/>
      <w:bCs w:val="1"/>
      <w:i w:val="0"/>
      <w:iCs w:val="0"/>
      <w:color w:val="2980b9"/>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